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Public Speaking Assignment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  <w:b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4444"/>
          <w:sz w:val="24"/>
          <w:szCs w:val="24"/>
          <w:rtl w:val="0"/>
        </w:rPr>
        <w:t xml:space="preserve">Overview</w:t>
      </w:r>
    </w:p>
    <w:p w:rsidR="00000000" w:rsidDel="00000000" w:rsidP="00000000" w:rsidRDefault="00000000" w:rsidRPr="00000000" w14:paraId="00000004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This activity was developed as an assignment in a university level public speaking course developed for international students who use English as an additional language. The textbook for the course is an Open Education Resource entitled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Exploring Public Speaking, 4th Edition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. This assignment focuses on two elements of the Canons of Rhetoric: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44444"/>
          <w:sz w:val="24"/>
          <w:szCs w:val="24"/>
          <w:rtl w:val="0"/>
        </w:rPr>
        <w:t xml:space="preserve">Memory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44444"/>
          <w:sz w:val="24"/>
          <w:szCs w:val="24"/>
          <w:rtl w:val="0"/>
        </w:rPr>
        <w:t xml:space="preserve">Delivery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, which are discussed in Chapter 1 of the textbook.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 The assignment was created to help students develop public speaking skills by mirroring or imitating a TED Talk speaker. </w:t>
      </w:r>
    </w:p>
    <w:p w:rsidR="00000000" w:rsidDel="00000000" w:rsidP="00000000" w:rsidRDefault="00000000" w:rsidRPr="00000000" w14:paraId="00000005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Below are details of the assignment provided to the students.</w:t>
      </w:r>
    </w:p>
    <w:p w:rsidR="00000000" w:rsidDel="00000000" w:rsidP="00000000" w:rsidRDefault="00000000" w:rsidRPr="00000000" w14:paraId="00000006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  <w:b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4444"/>
          <w:sz w:val="24"/>
          <w:szCs w:val="24"/>
          <w:rtl w:val="0"/>
        </w:rPr>
        <w:t xml:space="preserve">Pre-Presentation Work: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Choose a TED Talk that is interesting for you. Below are some good options but you can choose your own. 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The 25 Most Popular TED Talks of All Time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Watch the TED Talk and make notes on the presenter's public speaking skills.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Does the person use eye contact well?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Does the person tell a good story?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Does the person use pictures or graphs to increase interest? 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Does the person use humor? 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Does the person use intonation or pausing to add effects?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Does the person move or stay in one place? 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Does the person speak clearly?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Choose a 20-30 second section that is particularly interesting and well developed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Practice imitating the speaking for the full 20-30 seconds. 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Use the transcript for support with the language, 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20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Include pauses and intonation as best you can. </w:t>
      </w:r>
    </w:p>
    <w:p w:rsidR="00000000" w:rsidDel="00000000" w:rsidP="00000000" w:rsidRDefault="00000000" w:rsidRPr="00000000" w14:paraId="00000015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  <w:b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4444"/>
          <w:sz w:val="24"/>
          <w:szCs w:val="24"/>
          <w:rtl w:val="0"/>
        </w:rPr>
        <w:t xml:space="preserve">Use the checklist below when developing your slides.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Introduce yourself (10-20 seconds)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Offer a brief description of the TED Talk's topic   (30-60 seconds)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Analyze the presenter's public speaking skills, using the above listed questions for guidance (30-60 seconds)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Show a clip of the section you are imitating (20-30 seconds)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Imitate the section (20-30 seconds)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Conclude your talk by reflecting on your performance (30-60 seconds)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What did you do well?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lineRule="auto"/>
        <w:ind w:left="22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What could you work on for the future?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20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Reference your source (the TED Talk)</w:t>
      </w:r>
    </w:p>
    <w:p w:rsidR="00000000" w:rsidDel="00000000" w:rsidP="00000000" w:rsidRDefault="00000000" w:rsidRPr="00000000" w14:paraId="0000001F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Presentation time limit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5 minutes maximum </w:t>
      </w:r>
    </w:p>
    <w:p w:rsidR="00000000" w:rsidDel="00000000" w:rsidP="00000000" w:rsidRDefault="00000000" w:rsidRPr="00000000" w14:paraId="00000020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  <w:b w:val="1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4444"/>
          <w:sz w:val="24"/>
          <w:szCs w:val="24"/>
          <w:rtl w:val="0"/>
        </w:rPr>
        <w:t xml:space="preserve">What will you do in class?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You will each join a group of 3-4 students.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You will play your video for your group (from your computer)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You will answer questions about your presentation. 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hd w:fill="ffffff" w:val="clear"/>
        <w:spacing w:after="0" w:afterAutospacing="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You will watch other students present their videos.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spacing w:after="200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rtl w:val="0"/>
        </w:rPr>
        <w:t xml:space="preserve">You will ask other students questions about their presentations. </w:t>
      </w:r>
    </w:p>
    <w:p w:rsidR="00000000" w:rsidDel="00000000" w:rsidP="00000000" w:rsidRDefault="00000000" w:rsidRPr="00000000" w14:paraId="00000026">
      <w:pPr>
        <w:shd w:fill="ffffff" w:val="clear"/>
        <w:spacing w:after="180" w:before="1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4444"/>
          <w:sz w:val="24"/>
          <w:szCs w:val="24"/>
          <w:rtl w:val="0"/>
        </w:rPr>
        <w:t xml:space="preserve">Rubric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85"/>
        <w:gridCol w:w="1155"/>
        <w:gridCol w:w="3420"/>
        <w:tblGridChange w:id="0">
          <w:tblGrid>
            <w:gridCol w:w="4785"/>
            <w:gridCol w:w="1155"/>
            <w:gridCol w:w="342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3"/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ind w:left="-20" w:right="-20" w:firstLine="0"/>
              <w:jc w:val="right"/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44444"/>
                <w:sz w:val="28"/>
                <w:szCs w:val="28"/>
                <w:rtl w:val="0"/>
              </w:rPr>
              <w:t xml:space="preserve">Rating Scale: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0" w:before="0" w:lineRule="auto"/>
              <w:ind w:left="-20" w:right="-20" w:firstLine="0"/>
              <w:jc w:val="right"/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  <w:rtl w:val="0"/>
              </w:rPr>
              <w:t xml:space="preserve">25 = Completely Effective</w:t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ind w:left="-20" w:right="-20" w:firstLine="0"/>
              <w:jc w:val="right"/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  <w:rtl w:val="0"/>
              </w:rPr>
              <w:t xml:space="preserve">22.5 = Moderately Effective</w:t>
            </w:r>
          </w:p>
          <w:p w:rsidR="00000000" w:rsidDel="00000000" w:rsidP="00000000" w:rsidRDefault="00000000" w:rsidRPr="00000000" w14:paraId="0000002A">
            <w:pPr>
              <w:spacing w:after="0" w:before="0" w:lineRule="auto"/>
              <w:ind w:left="-20" w:right="-20" w:firstLine="0"/>
              <w:jc w:val="right"/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  <w:rtl w:val="0"/>
              </w:rPr>
              <w:t xml:space="preserve">20 = Somewhat Effective</w:t>
            </w:r>
          </w:p>
          <w:p w:rsidR="00000000" w:rsidDel="00000000" w:rsidP="00000000" w:rsidRDefault="00000000" w:rsidRPr="00000000" w14:paraId="0000002B">
            <w:pPr>
              <w:spacing w:after="0" w:before="0" w:lineRule="auto"/>
              <w:ind w:left="-20" w:right="-20" w:firstLine="0"/>
              <w:jc w:val="right"/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8"/>
                <w:szCs w:val="28"/>
                <w:rtl w:val="0"/>
              </w:rPr>
              <w:t xml:space="preserve">15 = Ineffective</w:t>
            </w:r>
          </w:p>
          <w:p w:rsidR="00000000" w:rsidDel="00000000" w:rsidP="00000000" w:rsidRDefault="00000000" w:rsidRPr="00000000" w14:paraId="0000002C">
            <w:pPr>
              <w:spacing w:after="0" w:before="0" w:lineRule="auto"/>
              <w:ind w:left="-20" w:right="-20" w:firstLine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-20" w:right="-20" w:firstLine="0"/>
              <w:jc w:val="center"/>
              <w:rPr>
                <w:rFonts w:ascii="Times New Roman" w:cs="Times New Roman" w:eastAsia="Times New Roman" w:hAnsi="Times New Roman"/>
                <w:b w:val="1"/>
                <w:color w:val="444444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44444"/>
                <w:sz w:val="26"/>
                <w:szCs w:val="26"/>
                <w:rtl w:val="0"/>
              </w:rPr>
              <w:t xml:space="preserve">Criteria</w:t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444444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44444"/>
                <w:sz w:val="26"/>
                <w:szCs w:val="26"/>
                <w:rtl w:val="0"/>
              </w:rPr>
              <w:t xml:space="preserve">Rating</w:t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444444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44444"/>
                <w:sz w:val="26"/>
                <w:szCs w:val="26"/>
                <w:rtl w:val="0"/>
              </w:rPr>
              <w:t xml:space="preserve">Comments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3"/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shd w:fill="c7cdd1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ind w:left="-20" w:right="-20" w:firstLine="0"/>
              <w:rPr>
                <w:rFonts w:ascii="Times New Roman" w:cs="Times New Roman" w:eastAsia="Times New Roman" w:hAnsi="Times New Roman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44444"/>
                <w:sz w:val="24"/>
                <w:szCs w:val="24"/>
                <w:rtl w:val="0"/>
              </w:rPr>
              <w:t xml:space="preserve">Content &amp; Organization</w:t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Presentation incorporates all elements of assignment: Introduction, Description of TED Talk, Analysis of Presenter’s Skills, Clip of TED Talk, Imitation of Talk, and Reflection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Slides include reference to TED Talk according to APA guidelines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Presenter adheres to suggested timing of talk for a total duration not to exceed 5 minutes</w:t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75"/>
              <w:gridCol w:w="775"/>
              <w:gridCol w:w="775"/>
              <w:gridCol w:w="775"/>
              <w:tblGridChange w:id="0">
                <w:tblGrid>
                  <w:gridCol w:w="775"/>
                  <w:gridCol w:w="775"/>
                  <w:gridCol w:w="775"/>
                  <w:gridCol w:w="7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22.5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</w:tr>
          </w:tbl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shd w:fill="c7cdd1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44444"/>
                <w:sz w:val="24"/>
                <w:szCs w:val="24"/>
                <w:rtl w:val="0"/>
              </w:rPr>
              <w:t xml:space="preserve">Grammar and Vocabulary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Uses a wide and diverse range of appropriate structures and verb tenses naturally and appropriately with consistent accuracy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Demonstrates a wide range of relevant vocabulary with strong flexibility and precision</w:t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1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75"/>
              <w:gridCol w:w="775"/>
              <w:gridCol w:w="775"/>
              <w:gridCol w:w="775"/>
              <w:tblGridChange w:id="0">
                <w:tblGrid>
                  <w:gridCol w:w="775"/>
                  <w:gridCol w:w="775"/>
                  <w:gridCol w:w="775"/>
                  <w:gridCol w:w="7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22.5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shd w:fill="c7cdd1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Rule="auto"/>
              <w:ind w:left="-20" w:right="-20" w:firstLine="0"/>
              <w:rPr>
                <w:rFonts w:ascii="Times New Roman" w:cs="Times New Roman" w:eastAsia="Times New Roman" w:hAnsi="Times New Roman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44444"/>
                <w:sz w:val="24"/>
                <w:szCs w:val="24"/>
                <w:rtl w:val="0"/>
              </w:rPr>
              <w:t xml:space="preserve">Pronunciation and Fluency</w:t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Requires little to no effort to understand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Effortless fluency with natural flow of speech; minimal unnatural pausing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During imitation segment, presenter demonstrates stress and intonation patterns used by the TED speaker</w:t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1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75"/>
              <w:gridCol w:w="775"/>
              <w:gridCol w:w="775"/>
              <w:gridCol w:w="775"/>
              <w:tblGridChange w:id="0">
                <w:tblGrid>
                  <w:gridCol w:w="775"/>
                  <w:gridCol w:w="775"/>
                  <w:gridCol w:w="775"/>
                  <w:gridCol w:w="7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22.5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</w:tr>
          </w:tbl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shd w:fill="c7cdd1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Rule="auto"/>
              <w:ind w:left="-20" w:right="-20" w:firstLine="0"/>
              <w:rPr>
                <w:rFonts w:ascii="Times New Roman" w:cs="Times New Roman" w:eastAsia="Times New Roman" w:hAnsi="Times New Roman"/>
                <w:b w:val="1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44444"/>
                <w:sz w:val="24"/>
                <w:szCs w:val="24"/>
                <w:rtl w:val="0"/>
              </w:rPr>
              <w:t xml:space="preserve">Visuals and Public Speaking</w:t>
            </w:r>
          </w:p>
        </w:tc>
      </w:tr>
      <w:tr>
        <w:trPr>
          <w:cantSplit w:val="0"/>
          <w:trHeight w:val="2565" w:hRule="atLeast"/>
          <w:tblHeader w:val="0"/>
        </w:trPr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spacing w:after="0" w:before="0" w:lineRule="auto"/>
              <w:ind w:left="720" w:right="-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Uses well designed visuals that contribute to the content, with no errors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During imitation segment, presenter demonstrates the eye contact, gestures and other nonverbal communication strategies used by the TED speaker</w:t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31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75"/>
              <w:gridCol w:w="775"/>
              <w:gridCol w:w="775"/>
              <w:gridCol w:w="775"/>
              <w:tblGridChange w:id="0">
                <w:tblGrid>
                  <w:gridCol w:w="775"/>
                  <w:gridCol w:w="775"/>
                  <w:gridCol w:w="775"/>
                  <w:gridCol w:w="7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22.5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444444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720" w:hanging="360"/>
              <w:jc w:val="right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720" w:hanging="360"/>
              <w:jc w:val="right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  <w:rtl w:val="0"/>
              </w:rPr>
              <w:t xml:space="preserve">  ___/100</w:t>
            </w:r>
          </w:p>
        </w:tc>
        <w:tc>
          <w:tcPr>
            <w:tcBorders>
              <w:top w:color="c7cdd1" w:space="0" w:sz="6" w:val="single"/>
              <w:left w:color="c7cdd1" w:space="0" w:sz="6" w:val="single"/>
              <w:bottom w:color="c7cdd1" w:space="0" w:sz="6" w:val="single"/>
              <w:right w:color="c7cdd1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200" w:lineRule="auto"/>
        <w:ind w:left="0" w:firstLine="0"/>
        <w:rPr>
          <w:rFonts w:ascii="Times New Roman" w:cs="Times New Roman" w:eastAsia="Times New Roman" w:hAnsi="Times New Roman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yperlink" Target="https://www.ted.com/playlists/171/the_most_popular_talks_of_all" TargetMode="Externa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oer.galileo.usg.edu/communication-textbooks/1/" TargetMode="Externa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D3E6E6F4FF340A5C3FAFC9853436B" ma:contentTypeVersion="17" ma:contentTypeDescription="Create a new document." ma:contentTypeScope="" ma:versionID="a7fe3cdd4942d6f86850a094c732e53d">
  <xsd:schema xmlns:xsd="http://www.w3.org/2001/XMLSchema" xmlns:xs="http://www.w3.org/2001/XMLSchema" xmlns:p="http://schemas.microsoft.com/office/2006/metadata/properties" xmlns:ns2="5b198deb-8179-4a9f-997b-954e92228035" xmlns:ns3="b0f7bd90-0605-4122-b11e-39b4082f7318" targetNamespace="http://schemas.microsoft.com/office/2006/metadata/properties" ma:root="true" ma:fieldsID="75cd52c38ca1e0974205170d8434c39b" ns2:_="" ns3:_="">
    <xsd:import namespace="5b198deb-8179-4a9f-997b-954e92228035"/>
    <xsd:import namespace="b0f7bd90-0605-4122-b11e-39b4082f7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98deb-8179-4a9f-997b-954e92228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c022ef-1a5c-4809-b15b-89e04579f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bd90-0605-4122-b11e-39b4082f7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8bd783-e4b7-4727-ada8-8ed4c33a7f99}" ma:internalName="TaxCatchAll" ma:showField="CatchAllData" ma:web="b0f7bd90-0605-4122-b11e-39b4082f7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7bd90-0605-4122-b11e-39b4082f7318" xsi:nil="true"/>
    <lcf76f155ced4ddcb4097134ff3c332f xmlns="5b198deb-8179-4a9f-997b-954e922280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93503-42C2-440C-AC58-3AB9EE419823}"/>
</file>

<file path=customXml/itemProps2.xml><?xml version="1.0" encoding="utf-8"?>
<ds:datastoreItem xmlns:ds="http://schemas.openxmlformats.org/officeDocument/2006/customXml" ds:itemID="{406170CE-A7F9-489A-AED9-51A347041916}"/>
</file>

<file path=customXml/itemProps3.xml><?xml version="1.0" encoding="utf-8"?>
<ds:datastoreItem xmlns:ds="http://schemas.openxmlformats.org/officeDocument/2006/customXml" ds:itemID="{6137605C-E3D1-4A40-93E2-E3C4D9B9185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0x010100C54D3E6E6F4FF340A5C3FAFC9853436B</vt:lpwstr>
  </property>
</Properties>
</file>